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color="auto" w:space="0"/>
          <w:left w:val="none" w:sz="0" w:color="auto" w:space="0"/>
          <w:bottom w:val="single" w:sz="4" w:color="D6D6D6" w:space="0"/>
          <w:right w:val="none" w:sz="0" w:color="auto" w:space="0"/>
          <w:insideH w:val="none" w:sz="0" w:color="auto" w:space="0"/>
          <w:insideV w:val="none" w:sz="0" w:color="auto" w:space="0"/>
        </w:tblBorders>
        <w:tblCellMar>
          <w:top w:w="0" w:type="dxa"/>
          <w:bottom w:w="140" w:type="dxa"/>
          <w:left w:w="0" w:type="dxa"/>
          <w:right w:w="110" w:type="dxa"/>
        </w:tblCellMar>
      </w:tblPr>
      <w:tblGrid>
        <w:gridCol w:w="2041"/>
        <w:gridCol w:w="8277"/>
      </w:tblGrid>
      <w:tr>
        <w:tc>
          <w:tcPr>
            <w:tcW w:type="dxa" w:w="2041"/>
          </w:tcPr>
          <w:p/>
        </w:tc>
        <w:tc>
          <w:tcPr>
            <w:tcW w:type="dxa" w:w="8277"/>
          </w:tcPr>
          <w:p>
            <w:pPr>
              <w:spacing w:before="0" w:after="60" w:line="228" w:lineRule="auto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44"/>
              </w:rPr>
              <w:t>Alex Morgan</w:t>
            </w:r>
          </w:p>
          <w:p>
            <w:pPr>
              <w:spacing w:before="0" w:after="100" w:line="252" w:lineRule="auto"/>
            </w:pPr>
            <w:r>
              <w:rPr>
                <w:rFonts w:ascii="Calibri" w:hAnsi="Calibri" w:cs="Calibri"/>
                <w:b w:val="0"/>
                <w:i w:val="0"/>
                <w:color w:val="8A8A8A"/>
                <w:sz w:val="18"/>
                <w:spacing w:val="35"/>
              </w:rPr>
              <w:t>CUSTOMER SUCCESS · ONBOARDING ACROSS SUPPORT AND PRODUCT</w:t>
            </w:r>
          </w:p>
          <w:p>
            <w:pPr>
              <w:spacing w:before="0" w:after="20" w:line="252" w:lineRule="auto"/>
            </w:pPr>
            <w:r>
              <w:rPr>
                <w:rFonts w:ascii="Calibri" w:hAnsi="Calibri" w:cs="Calibri"/>
                <w:b w:val="0"/>
                <w:i w:val="0"/>
                <w:color w:val="8A8A8A"/>
                <w:sz w:val="18"/>
              </w:rPr>
              <w:t>Copenhagen   ·   Denmark</w:t>
            </w:r>
          </w:p>
          <w:p>
            <w:pPr>
              <w:spacing w:before="0" w:after="20" w:line="252" w:lineRule="auto"/>
            </w:pPr>
            <w:r>
              <w:rPr>
                <w:rFonts w:ascii="Calibri" w:hAnsi="Calibri" w:cs="Calibri"/>
                <w:b w:val="0"/>
                <w:i w:val="0"/>
                <w:color w:val="8A8A8A"/>
                <w:sz w:val="18"/>
              </w:rPr>
              <w:t>alex.morgan@example.com   ·   +45 00 00 00 00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single" w:sz="4" w:color="D6D6D6" w:space="0"/>
          <w:insideV w:val="none" w:sz="0" w:color="auto" w:space="0"/>
        </w:tblBorders>
        <w:tblCellMar>
          <w:top w:w="150" w:type="dxa"/>
          <w:bottom w:w="150" w:type="dxa"/>
          <w:left w:w="0" w:type="dxa"/>
          <w:right w:w="110" w:type="dxa"/>
        </w:tblCellMar>
      </w:tblPr>
      <w:tblGrid>
        <w:gridCol w:w="2041"/>
        <w:gridCol w:w="8277"/>
      </w:tblGrid>
      <w:tr>
        <w:tc>
          <w:tcPr>
            <w:tcW w:type="dxa" w:w="2041"/>
          </w:tcPr>
          <w:p>
            <w:pPr>
              <w:spacing w:before="20" w:after="0" w:line="240" w:lineRule="auto"/>
            </w:pPr>
            <w:r>
              <w:rPr>
                <w:rFonts w:ascii="Calibri" w:hAnsi="Calibri" w:cs="Calibri"/>
                <w:b w:val="0"/>
                <w:i w:val="0"/>
                <w:color w:val="8A8A8A"/>
                <w:sz w:val="16"/>
                <w:spacing w:val="35"/>
              </w:rPr>
              <w:t>PROFILE</w:t>
            </w:r>
          </w:p>
        </w:tc>
        <w:tc>
          <w:tcPr>
            <w:tcW w:type="dxa" w:w="8277"/>
          </w:tcPr>
          <w:p>
            <w:pPr>
              <w:spacing w:before="0" w:after="120" w:line="278" w:lineRule="auto"/>
            </w:pPr>
            <w:r>
              <w:rPr>
                <w:rFonts w:ascii="Calibri" w:hAnsi="Calibri" w:cs="Calibri"/>
                <w:b w:val="0"/>
                <w:i w:val="0"/>
                <w:color w:val="333333"/>
                <w:sz w:val="21"/>
              </w:rPr>
              <w:t>Four years running onboarding for business customers, with support and product involved in every handover. I wrote the handover checklist three colleagues now use, and I keep the recurring setup problems in front of the product team.</w:t>
            </w:r>
          </w:p>
        </w:tc>
      </w:tr>
      <w:tr>
        <w:tc>
          <w:tcPr>
            <w:tcW w:type="dxa" w:w="2041"/>
          </w:tcPr>
          <w:p>
            <w:pPr>
              <w:spacing w:before="20" w:after="0" w:line="240" w:lineRule="auto"/>
            </w:pPr>
            <w:r>
              <w:rPr>
                <w:rFonts w:ascii="Calibri" w:hAnsi="Calibri" w:cs="Calibri"/>
                <w:b w:val="0"/>
                <w:i w:val="0"/>
                <w:color w:val="8A8A8A"/>
                <w:sz w:val="16"/>
                <w:spacing w:val="35"/>
              </w:rPr>
              <w:t>STRENGTHS</w:t>
            </w:r>
          </w:p>
        </w:tc>
        <w:tc>
          <w:tcPr>
            <w:tcW w:type="dxa" w:w="8277"/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one" w:sz="0" w:color="auto" w:space="0"/>
                <w:left w:val="none" w:sz="0" w:color="auto" w:space="0"/>
                <w:bottom w:val="none" w:sz="0" w:color="auto" w:space="0"/>
                <w:right w:val="none" w:sz="0" w:color="auto" w:space="0"/>
                <w:insideH w:val="none" w:sz="0" w:color="auto" w:space="0"/>
                <w:insideV w:val="none" w:sz="0" w:color="auto" w:space="0"/>
              </w:tblBorders>
              <w:tblCellMar>
                <w:top w:w="0" w:type="dxa"/>
                <w:bottom w:w="150" w:type="dxa"/>
                <w:left w:w="0" w:type="dxa"/>
                <w:right w:w="480" w:type="dxa"/>
              </w:tblCellMar>
            </w:tblPr>
            <w:tblGrid>
              <w:gridCol w:w="4139"/>
              <w:gridCol w:w="4139"/>
            </w:tblGrid>
            <w:tr>
              <w:trPr>
                <w:cantSplit/>
                <w:cantSplit/>
              </w:trPr>
              <w:tc>
                <w:tcPr>
                  <w:tcW w:type="dxa" w:w="4139"/>
                </w:tcPr>
                <w:p>
                  <w:pPr>
                    <w:spacing w:before="0" w:after="20" w:line="264" w:lineRule="auto"/>
                  </w:pPr>
                  <w:r>
                    <w:rPr>
                      <w:rFonts w:ascii="Calibri" w:hAnsi="Calibri" w:cs="Calibri"/>
                      <w:b/>
                      <w:i w:val="0"/>
                      <w:color w:val="1F1F1F"/>
                      <w:sz w:val="21"/>
                    </w:rPr>
                    <w:t>A process others adopted</w:t>
                  </w:r>
                </w:p>
                <w:p>
                  <w:pPr>
                    <w:spacing w:before="0" w:after="0" w:line="278" w:lineRule="auto"/>
                  </w:pPr>
                  <w:r>
                    <w:rPr>
                      <w:rFonts w:ascii="Calibri" w:hAnsi="Calibri" w:cs="Calibri"/>
                      <w:b w:val="0"/>
                      <w:i w:val="0"/>
                      <w:color w:val="333333"/>
                      <w:sz w:val="18"/>
                    </w:rPr>
                    <w:t>Wrote the shared handover checklist and trained three colleagues to use it.</w:t>
                  </w:r>
                </w:p>
              </w:tc>
              <w:tc>
                <w:tcPr>
                  <w:tcW w:type="dxa" w:w="4139"/>
                </w:tcPr>
                <w:p>
                  <w:pPr>
                    <w:spacing w:before="0" w:after="20" w:line="264" w:lineRule="auto"/>
                  </w:pPr>
                  <w:r>
                    <w:rPr>
                      <w:rFonts w:ascii="Calibri" w:hAnsi="Calibri" w:cs="Calibri"/>
                      <w:b/>
                      <w:i w:val="0"/>
                      <w:color w:val="1F1F1F"/>
                      <w:sz w:val="21"/>
                    </w:rPr>
                    <w:t>Onboarding across teams</w:t>
                  </w:r>
                </w:p>
                <w:p>
                  <w:pPr>
                    <w:spacing w:before="0" w:after="0" w:line="278" w:lineRule="auto"/>
                  </w:pPr>
                  <w:r>
                    <w:rPr>
                      <w:rFonts w:ascii="Calibri" w:hAnsi="Calibri" w:cs="Calibri"/>
                      <w:b w:val="0"/>
                      <w:i w:val="0"/>
                      <w:color w:val="333333"/>
                      <w:sz w:val="18"/>
                    </w:rPr>
                    <w:t>Ran onboarding for business customers with support and product in every handover.</w:t>
                  </w:r>
                </w:p>
              </w:tc>
            </w:tr>
            <w:tr>
              <w:trPr>
                <w:cantSplit/>
                <w:cantSplit/>
              </w:trPr>
              <w:tc>
                <w:tcPr>
                  <w:tcW w:type="dxa" w:w="4139"/>
                </w:tcPr>
                <w:p>
                  <w:pPr>
                    <w:spacing w:before="0" w:after="20" w:line="264" w:lineRule="auto"/>
                  </w:pPr>
                  <w:r>
                    <w:rPr>
                      <w:rFonts w:ascii="Calibri" w:hAnsi="Calibri" w:cs="Calibri"/>
                      <w:b/>
                      <w:i w:val="0"/>
                      <w:color w:val="1F1F1F"/>
                      <w:sz w:val="21"/>
                    </w:rPr>
                    <w:t>Recovered a stalled start</w:t>
                  </w:r>
                </w:p>
                <w:p>
                  <w:pPr>
                    <w:spacing w:before="0" w:after="0" w:line="278" w:lineRule="auto"/>
                  </w:pPr>
                  <w:r>
                    <w:rPr>
                      <w:rFonts w:ascii="Calibri" w:hAnsi="Calibri" w:cs="Calibri"/>
                      <w:b w:val="0"/>
                      <w:i w:val="0"/>
                      <w:color w:val="333333"/>
                      <w:sz w:val="18"/>
                    </w:rPr>
                    <w:t>Restarted an onboarding after the customer's contact changed and got them live.</w:t>
                  </w:r>
                </w:p>
              </w:tc>
              <w:tc>
                <w:tcPr>
                  <w:tcW w:type="dxa" w:w="4139"/>
                </w:tcPr>
                <w:p>
                  <w:pPr>
                    <w:spacing w:before="0" w:after="20" w:line="264" w:lineRule="auto"/>
                  </w:pPr>
                  <w:r>
                    <w:rPr>
                      <w:rFonts w:ascii="Calibri" w:hAnsi="Calibri" w:cs="Calibri"/>
                      <w:b/>
                      <w:i w:val="0"/>
                      <w:color w:val="1F1F1F"/>
                      <w:sz w:val="21"/>
                    </w:rPr>
                    <w:t>Standing product conversation</w:t>
                  </w:r>
                </w:p>
                <w:p>
                  <w:pPr>
                    <w:spacing w:before="0" w:after="0" w:line="278" w:lineRule="auto"/>
                  </w:pPr>
                  <w:r>
                    <w:rPr>
                      <w:rFonts w:ascii="Calibri" w:hAnsi="Calibri" w:cs="Calibri"/>
                      <w:b w:val="0"/>
                      <w:i w:val="0"/>
                      <w:color w:val="333333"/>
                      <w:sz w:val="18"/>
                    </w:rPr>
                    <w:t>Monthly review of the setup problems that kept coming back.</w:t>
                  </w:r>
                </w:p>
              </w:tc>
            </w:tr>
          </w:tbl>
          <w:p/>
        </w:tc>
      </w:tr>
      <w:tr>
        <w:tc>
          <w:tcPr>
            <w:tcW w:type="dxa" w:w="2041"/>
          </w:tcPr>
          <w:p>
            <w:pPr>
              <w:spacing w:before="20" w:after="0" w:line="240" w:lineRule="auto"/>
            </w:pPr>
            <w:r>
              <w:rPr>
                <w:rFonts w:ascii="Calibri" w:hAnsi="Calibri" w:cs="Calibri"/>
                <w:b w:val="0"/>
                <w:i w:val="0"/>
                <w:color w:val="8A8A8A"/>
                <w:sz w:val="16"/>
                <w:spacing w:val="35"/>
              </w:rPr>
              <w:t>CAREER OVERVIEW</w:t>
            </w:r>
          </w:p>
        </w:tc>
        <w:tc>
          <w:tcPr>
            <w:tcW w:type="dxa" w:w="8277"/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Borders>
                <w:top w:val="none" w:sz="0" w:color="auto" w:space="0"/>
                <w:left w:val="none" w:sz="0" w:color="auto" w:space="0"/>
                <w:bottom w:val="none" w:sz="0" w:color="auto" w:space="0"/>
                <w:right w:val="none" w:sz="0" w:color="auto" w:space="0"/>
                <w:insideH w:val="none" w:sz="0" w:color="auto" w:space="0"/>
                <w:insideV w:val="none" w:sz="0" w:color="auto" w:space="0"/>
              </w:tblBorders>
              <w:tblCellMar>
                <w:top w:w="0" w:type="dxa"/>
                <w:bottom w:w="60" w:type="dxa"/>
                <w:left w:w="0" w:type="dxa"/>
                <w:right w:w="110" w:type="dxa"/>
              </w:tblCellMar>
            </w:tblPr>
            <w:tblGrid>
              <w:gridCol w:w="1531"/>
              <w:gridCol w:w="6746"/>
            </w:tblGrid>
            <w:tr>
              <w:trPr>
                <w:cantSplit/>
              </w:trPr>
              <w:tc>
                <w:tcPr>
                  <w:tcW w:type="dxa" w:w="1531"/>
                </w:tcPr>
                <w:p>
                  <w:pPr>
                    <w:spacing w:before="0" w:after="40" w:line="264" w:lineRule="auto"/>
                  </w:pPr>
                  <w:r>
                    <w:rPr>
                      <w:rFonts w:ascii="Calibri" w:hAnsi="Calibri" w:cs="Calibri"/>
                      <w:b w:val="0"/>
                      <w:i w:val="0"/>
                      <w:color w:val="8A8A8A"/>
                      <w:sz w:val="18"/>
                    </w:rPr>
                    <w:t>2022 – Present</w:t>
                  </w:r>
                </w:p>
              </w:tc>
              <w:tc>
                <w:tcPr>
                  <w:tcW w:type="dxa" w:w="6746"/>
                </w:tcPr>
                <w:p>
                  <w:pPr>
                    <w:spacing w:before="0" w:after="40" w:line="264" w:lineRule="auto"/>
                  </w:pPr>
                  <w:r>
                    <w:rPr>
                      <w:rFonts w:ascii="Calibri" w:hAnsi="Calibri" w:cs="Calibri"/>
                      <w:b/>
                      <w:color w:val="1F1F1F"/>
                      <w:sz w:val="18"/>
                    </w:rPr>
                    <w:t>Customer Success Specialist</w:t>
                  </w:r>
                  <w:r>
                    <w:rPr>
                      <w:rFonts w:ascii="Calibri" w:hAnsi="Calibri" w:cs="Calibri"/>
                      <w:color w:val="8A8A8A"/>
                      <w:sz w:val="18"/>
                    </w:rPr>
                    <w:t xml:space="preserve">   Vantage Data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31"/>
                </w:tcPr>
                <w:p>
                  <w:pPr>
                    <w:spacing w:before="0" w:after="40" w:line="264" w:lineRule="auto"/>
                  </w:pPr>
                  <w:r>
                    <w:rPr>
                      <w:rFonts w:ascii="Calibri" w:hAnsi="Calibri" w:cs="Calibri"/>
                      <w:b w:val="0"/>
                      <w:i w:val="0"/>
                      <w:color w:val="8A8A8A"/>
                      <w:sz w:val="18"/>
                    </w:rPr>
                    <w:t>2020 – 2022</w:t>
                  </w:r>
                </w:p>
              </w:tc>
              <w:tc>
                <w:tcPr>
                  <w:tcW w:type="dxa" w:w="6746"/>
                </w:tcPr>
                <w:p>
                  <w:pPr>
                    <w:spacing w:before="0" w:after="40" w:line="264" w:lineRule="auto"/>
                  </w:pPr>
                  <w:r>
                    <w:rPr>
                      <w:rFonts w:ascii="Calibri" w:hAnsi="Calibri" w:cs="Calibri"/>
                      <w:b/>
                      <w:color w:val="1F1F1F"/>
                      <w:sz w:val="18"/>
                    </w:rPr>
                    <w:t>Customer Support Consultant</w:t>
                  </w:r>
                  <w:r>
                    <w:rPr>
                      <w:rFonts w:ascii="Calibri" w:hAnsi="Calibri" w:cs="Calibri"/>
                      <w:color w:val="8A8A8A"/>
                      <w:sz w:val="18"/>
                    </w:rPr>
                    <w:t xml:space="preserve">   Vantage Data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531"/>
                </w:tcPr>
                <w:p>
                  <w:pPr>
                    <w:spacing w:before="0" w:after="40" w:line="264" w:lineRule="auto"/>
                  </w:pPr>
                  <w:r>
                    <w:rPr>
                      <w:rFonts w:ascii="Calibri" w:hAnsi="Calibri" w:cs="Calibri"/>
                      <w:b w:val="0"/>
                      <w:i w:val="0"/>
                      <w:color w:val="8A8A8A"/>
                      <w:sz w:val="18"/>
                    </w:rPr>
                    <w:t>2018 – 2020</w:t>
                  </w:r>
                </w:p>
              </w:tc>
              <w:tc>
                <w:tcPr>
                  <w:tcW w:type="dxa" w:w="6746"/>
                </w:tcPr>
                <w:p>
                  <w:pPr>
                    <w:spacing w:before="0" w:after="40" w:line="264" w:lineRule="auto"/>
                  </w:pPr>
                  <w:r>
                    <w:rPr>
                      <w:rFonts w:ascii="Calibri" w:hAnsi="Calibri" w:cs="Calibri"/>
                      <w:b/>
                      <w:color w:val="1F1F1F"/>
                      <w:sz w:val="18"/>
                    </w:rPr>
                    <w:t>Service Coordinator</w:t>
                  </w:r>
                  <w:r>
                    <w:rPr>
                      <w:rFonts w:ascii="Calibri" w:hAnsi="Calibri" w:cs="Calibri"/>
                      <w:color w:val="8A8A8A"/>
                      <w:sz w:val="18"/>
                    </w:rPr>
                    <w:t xml:space="preserve">   Harbour Logistics</w:t>
                  </w:r>
                </w:p>
              </w:tc>
            </w:tr>
          </w:tbl>
          <w:p/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color="auto" w:space="0"/>
          <w:left w:val="none" w:sz="0" w:color="auto" w:space="0"/>
          <w:bottom w:val="single" w:sz="4" w:color="D6D6D6" w:space="0"/>
          <w:right w:val="none" w:sz="0" w:color="auto" w:space="0"/>
          <w:insideH w:val="none" w:sz="0" w:color="auto" w:space="0"/>
          <w:insideV w:val="none" w:sz="0" w:color="auto" w:space="0"/>
        </w:tblBorders>
        <w:tblCellMar>
          <w:top w:w="60" w:type="dxa"/>
          <w:bottom w:w="200" w:type="dxa"/>
          <w:left w:w="0" w:type="dxa"/>
          <w:right w:w="110" w:type="dxa"/>
        </w:tblCellMar>
      </w:tblPr>
      <w:tblGrid>
        <w:gridCol w:w="2041"/>
        <w:gridCol w:w="8277"/>
      </w:tblGrid>
      <w:tr>
        <w:trPr>
          <w:cantSplit/>
        </w:trPr>
        <w:tc>
          <w:tcPr>
            <w:tcW w:type="dxa" w:w="2041"/>
          </w:tcPr>
          <w:p>
            <w:pPr>
              <w:spacing w:before="20" w:after="0" w:line="240" w:lineRule="auto"/>
              <w:pageBreakBefore/>
            </w:pPr>
            <w:r>
              <w:rPr>
                <w:rFonts w:ascii="Calibri" w:hAnsi="Calibri" w:cs="Calibri"/>
                <w:b w:val="0"/>
                <w:i w:val="0"/>
                <w:color w:val="8A8A8A"/>
                <w:sz w:val="16"/>
                <w:spacing w:val="35"/>
              </w:rPr>
              <w:t>EXPERIENCE</w:t>
            </w:r>
          </w:p>
        </w:tc>
        <w:tc>
          <w:tcPr>
            <w:tcW w:type="dxa" w:w="8277"/>
          </w:tcPr>
          <w:p>
            <w:pPr>
              <w:spacing w:before="0" w:after="40" w:line="264" w:lineRule="auto"/>
              <w:keepNext/>
            </w:pPr>
            <w:r>
              <w:rPr>
                <w:rFonts w:ascii="Calibri" w:hAnsi="Calibri" w:cs="Calibri"/>
                <w:b/>
                <w:color w:val="1F1F1F"/>
                <w:sz w:val="22"/>
              </w:rPr>
              <w:t>Customer Success Specialist</w:t>
            </w:r>
            <w:r>
              <w:rPr>
                <w:rFonts w:ascii="Calibri" w:hAnsi="Calibri" w:cs="Calibri"/>
                <w:color w:val="333333"/>
                <w:sz w:val="21"/>
              </w:rPr>
              <w:t xml:space="preserve">   ·   Vantage Data</w:t>
            </w:r>
          </w:p>
          <w:p>
            <w:pPr>
              <w:spacing w:before="0" w:after="80" w:line="264" w:lineRule="auto"/>
              <w:keepNext/>
            </w:pPr>
            <w:r>
              <w:rPr>
                <w:rFonts w:ascii="Calibri" w:hAnsi="Calibri" w:cs="Calibri"/>
                <w:b w:val="0"/>
                <w:i w:val="0"/>
                <w:color w:val="8A8A8A"/>
                <w:sz w:val="18"/>
              </w:rPr>
              <w:t>2022 – Present   ·   Copenhagen</w:t>
            </w:r>
          </w:p>
          <w:p>
            <w:pPr>
              <w:tabs>
                <w:tab w:pos="312" w:val="left"/>
              </w:tabs>
              <w:spacing w:before="0" w:after="60" w:line="278" w:lineRule="auto"/>
              <w:ind w:left="312" w:hanging="312"/>
            </w:pPr>
            <w:r>
              <w:rPr>
                <w:rFonts w:ascii="Calibri" w:hAnsi="Calibri" w:cs="Calibri"/>
                <w:color w:val="333333"/>
                <w:sz w:val="21"/>
              </w:rPr>
              <w:t>•</w:t>
              <w:tab/>
              <w:t>Ran onboarding for business customers from signed agreement to a working setup, with support and product in every handover.</w:t>
            </w:r>
          </w:p>
          <w:p>
            <w:pPr>
              <w:tabs>
                <w:tab w:pos="312" w:val="left"/>
              </w:tabs>
              <w:spacing w:before="0" w:after="60" w:line="278" w:lineRule="auto"/>
              <w:ind w:left="312" w:hanging="312"/>
            </w:pPr>
            <w:r>
              <w:rPr>
                <w:rFonts w:ascii="Calibri" w:hAnsi="Calibri" w:cs="Calibri"/>
                <w:color w:val="333333"/>
                <w:sz w:val="21"/>
              </w:rPr>
              <w:t>•</w:t>
              <w:tab/>
              <w:t>Wrote the shared handover checklist used between support and product, and trained three colleagues to use it.</w:t>
            </w:r>
          </w:p>
          <w:p>
            <w:pPr>
              <w:tabs>
                <w:tab w:pos="312" w:val="left"/>
              </w:tabs>
              <w:spacing w:before="0" w:after="60" w:line="278" w:lineRule="auto"/>
              <w:ind w:left="312" w:hanging="312"/>
            </w:pPr>
            <w:r>
              <w:rPr>
                <w:rFonts w:ascii="Calibri" w:hAnsi="Calibri" w:cs="Calibri"/>
                <w:color w:val="333333"/>
                <w:sz w:val="21"/>
              </w:rPr>
              <w:t>•</w:t>
              <w:tab/>
              <w:t>Took over an onboarding that stalled when the customer's contact changed, rebuilt the plan with them and got them live.</w:t>
            </w:r>
          </w:p>
          <w:p>
            <w:pPr>
              <w:tabs>
                <w:tab w:pos="312" w:val="left"/>
              </w:tabs>
              <w:spacing w:before="0" w:after="60" w:line="278" w:lineRule="auto"/>
              <w:ind w:left="312" w:hanging="312"/>
            </w:pPr>
            <w:r>
              <w:rPr>
                <w:rFonts w:ascii="Calibri" w:hAnsi="Calibri" w:cs="Calibri"/>
                <w:color w:val="333333"/>
                <w:sz w:val="21"/>
              </w:rPr>
              <w:t>•</w:t>
              <w:tab/>
              <w:t>Kept a running list of the setup problems that came back, and reviewed it with product monthly.</w:t>
            </w:r>
          </w:p>
        </w:tc>
      </w:tr>
      <w:tr>
        <w:trPr>
          <w:cantSplit/>
        </w:trPr>
        <w:tc>
          <w:tcPr>
            <w:tcW w:type="dxa" w:w="2041"/>
          </w:tcPr>
          <w:p/>
        </w:tc>
        <w:tc>
          <w:tcPr>
            <w:tcW w:type="dxa" w:w="8277"/>
          </w:tcPr>
          <w:p>
            <w:pPr>
              <w:spacing w:before="0" w:after="40" w:line="264" w:lineRule="auto"/>
              <w:keepNext/>
            </w:pPr>
            <w:r>
              <w:rPr>
                <w:rFonts w:ascii="Calibri" w:hAnsi="Calibri" w:cs="Calibri"/>
                <w:b/>
                <w:color w:val="1F1F1F"/>
                <w:sz w:val="22"/>
              </w:rPr>
              <w:t>Customer Support Consultant</w:t>
            </w:r>
            <w:r>
              <w:rPr>
                <w:rFonts w:ascii="Calibri" w:hAnsi="Calibri" w:cs="Calibri"/>
                <w:color w:val="333333"/>
                <w:sz w:val="21"/>
              </w:rPr>
              <w:t xml:space="preserve">   ·   Vantage Data</w:t>
            </w:r>
          </w:p>
          <w:p>
            <w:pPr>
              <w:spacing w:before="0" w:after="80" w:line="264" w:lineRule="auto"/>
              <w:keepNext/>
            </w:pPr>
            <w:r>
              <w:rPr>
                <w:rFonts w:ascii="Calibri" w:hAnsi="Calibri" w:cs="Calibri"/>
                <w:b w:val="0"/>
                <w:i w:val="0"/>
                <w:color w:val="8A8A8A"/>
                <w:sz w:val="18"/>
              </w:rPr>
              <w:t>2020 – 2022   ·   Copenhagen</w:t>
            </w:r>
          </w:p>
          <w:p>
            <w:pPr>
              <w:tabs>
                <w:tab w:pos="312" w:val="left"/>
              </w:tabs>
              <w:spacing w:before="0" w:after="60" w:line="278" w:lineRule="auto"/>
              <w:ind w:left="312" w:hanging="312"/>
            </w:pPr>
            <w:r>
              <w:rPr>
                <w:rFonts w:ascii="Calibri" w:hAnsi="Calibri" w:cs="Calibri"/>
                <w:color w:val="333333"/>
                <w:sz w:val="21"/>
              </w:rPr>
              <w:t>•</w:t>
              <w:tab/>
              <w:t>Second-line support for business customers; wrote the answers the first line reused.</w:t>
            </w:r>
          </w:p>
          <w:p>
            <w:pPr>
              <w:tabs>
                <w:tab w:pos="312" w:val="left"/>
              </w:tabs>
              <w:spacing w:before="0" w:after="60" w:line="278" w:lineRule="auto"/>
              <w:ind w:left="312" w:hanging="312"/>
            </w:pPr>
            <w:r>
              <w:rPr>
                <w:rFonts w:ascii="Calibri" w:hAnsi="Calibri" w:cs="Calibri"/>
                <w:color w:val="333333"/>
                <w:sz w:val="21"/>
              </w:rPr>
              <w:t>•</w:t>
              <w:tab/>
              <w:t>Joined onboarding calls and began documenting what went wrong after handover.</w:t>
            </w:r>
          </w:p>
        </w:tc>
      </w:tr>
      <w:tr>
        <w:trPr>
          <w:cantSplit/>
        </w:trPr>
        <w:tc>
          <w:tcPr>
            <w:tcW w:type="dxa" w:w="2041"/>
          </w:tcPr>
          <w:p/>
        </w:tc>
        <w:tc>
          <w:tcPr>
            <w:tcW w:type="dxa" w:w="8277"/>
          </w:tcPr>
          <w:p>
            <w:pPr>
              <w:spacing w:before="0" w:after="40" w:line="264" w:lineRule="auto"/>
              <w:keepNext/>
            </w:pPr>
            <w:r>
              <w:rPr>
                <w:rFonts w:ascii="Calibri" w:hAnsi="Calibri" w:cs="Calibri"/>
                <w:b/>
                <w:color w:val="1F1F1F"/>
                <w:sz w:val="22"/>
              </w:rPr>
              <w:t>Service Coordinator</w:t>
            </w:r>
            <w:r>
              <w:rPr>
                <w:rFonts w:ascii="Calibri" w:hAnsi="Calibri" w:cs="Calibri"/>
                <w:color w:val="333333"/>
                <w:sz w:val="21"/>
              </w:rPr>
              <w:t xml:space="preserve">   ·   Harbour Logistics</w:t>
            </w:r>
          </w:p>
          <w:p>
            <w:pPr>
              <w:spacing w:before="0" w:after="80" w:line="264" w:lineRule="auto"/>
              <w:keepNext/>
            </w:pPr>
            <w:r>
              <w:rPr>
                <w:rFonts w:ascii="Calibri" w:hAnsi="Calibri" w:cs="Calibri"/>
                <w:b w:val="0"/>
                <w:i w:val="0"/>
                <w:color w:val="8A8A8A"/>
                <w:sz w:val="18"/>
              </w:rPr>
              <w:t>2018 – 2020   ·   Aarhus</w:t>
            </w:r>
          </w:p>
          <w:p>
            <w:pPr>
              <w:tabs>
                <w:tab w:pos="312" w:val="left"/>
              </w:tabs>
              <w:spacing w:before="0" w:after="60" w:line="278" w:lineRule="auto"/>
              <w:ind w:left="312" w:hanging="312"/>
            </w:pPr>
            <w:r>
              <w:rPr>
                <w:rFonts w:ascii="Calibri" w:hAnsi="Calibri" w:cs="Calibri"/>
                <w:color w:val="333333"/>
                <w:sz w:val="21"/>
              </w:rPr>
              <w:t>•</w:t>
              <w:tab/>
              <w:t>Coordinated a service team's schedule and kept customers informed when it moved.</w:t>
            </w:r>
          </w:p>
        </w:tc>
      </w:tr>
    </w:tbl>
    <w:p>
      <w:pPr>
        <w:spacing w:before="0" w:after="0" w:line="240" w:lineRule="auto"/>
      </w:pPr>
      <w:r>
        <w:rPr>
          <w:b w:val="0"/>
          <w:i w:val="0"/>
          <w:color w:val="000000"/>
          <w:sz w:val="8"/>
        </w:rPr>
        <w:t xml:space="preserve"> 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 w:color="auto" w:space="0"/>
          <w:left w:val="none" w:sz="0" w:color="auto" w:space="0"/>
          <w:bottom w:val="none" w:sz="0" w:color="auto" w:space="0"/>
          <w:right w:val="none" w:sz="0" w:color="auto" w:space="0"/>
          <w:insideH w:val="single" w:sz="4" w:color="D6D6D6" w:space="0"/>
          <w:insideV w:val="none" w:sz="0" w:color="auto" w:space="0"/>
        </w:tblBorders>
        <w:tblCellMar>
          <w:top w:w="150" w:type="dxa"/>
          <w:bottom w:w="150" w:type="dxa"/>
          <w:left w:w="0" w:type="dxa"/>
          <w:right w:w="110" w:type="dxa"/>
        </w:tblCellMar>
      </w:tblPr>
      <w:tblGrid>
        <w:gridCol w:w="2041"/>
        <w:gridCol w:w="8277"/>
      </w:tblGrid>
      <w:tr>
        <w:trPr>
          <w:cantSplit/>
        </w:trPr>
        <w:tc>
          <w:tcPr>
            <w:tcW w:type="dxa" w:w="2041"/>
          </w:tcPr>
          <w:p>
            <w:pPr>
              <w:spacing w:before="20" w:after="0" w:line="240" w:lineRule="auto"/>
            </w:pPr>
            <w:r>
              <w:rPr>
                <w:rFonts w:ascii="Calibri" w:hAnsi="Calibri" w:cs="Calibri"/>
                <w:b w:val="0"/>
                <w:i w:val="0"/>
                <w:color w:val="8A8A8A"/>
                <w:sz w:val="16"/>
                <w:spacing w:val="35"/>
              </w:rPr>
              <w:t>EDUCATION</w:t>
            </w:r>
          </w:p>
        </w:tc>
        <w:tc>
          <w:tcPr>
            <w:tcW w:type="dxa" w:w="8277"/>
          </w:tcPr>
          <w:p>
            <w:pPr>
              <w:spacing w:before="0" w:after="40" w:line="278" w:lineRule="auto"/>
            </w:pPr>
            <w:r>
              <w:rPr>
                <w:rFonts w:ascii="Calibri" w:hAnsi="Calibri" w:cs="Calibri"/>
                <w:b w:val="0"/>
                <w:i w:val="0"/>
                <w:color w:val="333333"/>
                <w:sz w:val="21"/>
              </w:rPr>
              <w:t>BSc Business Administration and Service Management, Copenhagen Business Academy (2018)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before="20" w:after="0" w:line="240" w:lineRule="auto"/>
            </w:pPr>
            <w:r>
              <w:rPr>
                <w:rFonts w:ascii="Calibri" w:hAnsi="Calibri" w:cs="Calibri"/>
                <w:b w:val="0"/>
                <w:i w:val="0"/>
                <w:color w:val="8A8A8A"/>
                <w:sz w:val="16"/>
                <w:spacing w:val="35"/>
              </w:rPr>
              <w:t>SKILLS</w:t>
            </w:r>
          </w:p>
        </w:tc>
        <w:tc>
          <w:tcPr>
            <w:tcW w:type="dxa" w:w="8277"/>
          </w:tcPr>
          <w:p>
            <w:pPr>
              <w:spacing w:before="0" w:after="40" w:line="278" w:lineRule="auto"/>
              <w:ind w:left="340" w:hanging="340"/>
            </w:pPr>
            <w:r>
              <w:rPr>
                <w:rFonts w:ascii="Calibri" w:hAnsi="Calibri" w:cs="Calibri"/>
                <w:b w:val="0"/>
                <w:i w:val="0"/>
                <w:color w:val="333333"/>
                <w:sz w:val="21"/>
              </w:rPr>
              <w:t>Customer success: Onboarding plans   ·   Handover process   ·   Account reviews   ·   Escalation handling</w:t>
            </w:r>
          </w:p>
          <w:p>
            <w:pPr>
              <w:spacing w:before="0" w:after="40" w:line="278" w:lineRule="auto"/>
              <w:ind w:left="340" w:hanging="340"/>
            </w:pPr>
            <w:r>
              <w:rPr>
                <w:rFonts w:ascii="Calibri" w:hAnsi="Calibri" w:cs="Calibri"/>
                <w:b w:val="0"/>
                <w:i w:val="0"/>
                <w:color w:val="333333"/>
                <w:sz w:val="21"/>
              </w:rPr>
              <w:t>Working across teams: Support and product liaison   ·   Process documentation   ·   Colleague training</w:t>
            </w:r>
          </w:p>
        </w:tc>
      </w:tr>
      <w:tr>
        <w:trPr>
          <w:cantSplit/>
        </w:trPr>
        <w:tc>
          <w:tcPr>
            <w:tcW w:type="dxa" w:w="2041"/>
          </w:tcPr>
          <w:p>
            <w:pPr>
              <w:spacing w:before="20" w:after="0" w:line="240" w:lineRule="auto"/>
            </w:pPr>
            <w:r>
              <w:rPr>
                <w:rFonts w:ascii="Calibri" w:hAnsi="Calibri" w:cs="Calibri"/>
                <w:b w:val="0"/>
                <w:i w:val="0"/>
                <w:color w:val="8A8A8A"/>
                <w:sz w:val="16"/>
                <w:spacing w:val="35"/>
              </w:rPr>
              <w:t>PERSONAL</w:t>
            </w:r>
          </w:p>
        </w:tc>
        <w:tc>
          <w:tcPr>
            <w:tcW w:type="dxa" w:w="8277"/>
          </w:tcPr>
          <w:p>
            <w:pPr>
              <w:spacing w:before="0" w:after="40" w:line="278" w:lineRule="auto"/>
            </w:pPr>
            <w:r>
              <w:rPr>
                <w:rFonts w:ascii="Calibri" w:hAnsi="Calibri" w:cs="Calibri"/>
                <w:b w:val="0"/>
                <w:i w:val="0"/>
                <w:color w:val="333333"/>
                <w:sz w:val="21"/>
              </w:rPr>
              <w:t>Danish (native)   ·   English (fluent)   ·   References available on request</w:t>
            </w:r>
          </w:p>
        </w:tc>
      </w:tr>
    </w:tbl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